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4684B3CB" w:rsidR="007250E9" w:rsidRDefault="002D4769">
      <w:pPr>
        <w:tabs>
          <w:tab w:val="right" w:pos="9638"/>
        </w:tabs>
        <w:spacing w:after="60"/>
        <w:ind w:left="0" w:hanging="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SA WG2 Meeting #169</w:t>
      </w:r>
      <w:r>
        <w:rPr>
          <w:rFonts w:ascii="Arial" w:eastAsia="Arial" w:hAnsi="Arial" w:cs="Arial"/>
          <w:b/>
          <w:sz w:val="24"/>
          <w:szCs w:val="24"/>
        </w:rPr>
        <w:tab/>
        <w:t>S2-250</w:t>
      </w:r>
      <w:r w:rsidR="00F14799">
        <w:rPr>
          <w:rFonts w:ascii="Arial" w:eastAsia="Arial" w:hAnsi="Arial" w:cs="Arial"/>
          <w:b/>
          <w:sz w:val="24"/>
          <w:szCs w:val="24"/>
        </w:rPr>
        <w:t>4855</w:t>
      </w:r>
    </w:p>
    <w:p w14:paraId="00000002" w14:textId="528534E2" w:rsidR="007250E9" w:rsidRDefault="002D4769">
      <w:pPr>
        <w:pBdr>
          <w:bottom w:val="single" w:sz="4" w:space="1" w:color="000000"/>
        </w:pBdr>
        <w:tabs>
          <w:tab w:val="right" w:pos="9638"/>
        </w:tabs>
        <w:ind w:left="0" w:hanging="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19 - 23 </w:t>
      </w:r>
      <w:r w:rsidR="00B64FBE">
        <w:rPr>
          <w:rFonts w:ascii="Arial" w:eastAsia="Arial" w:hAnsi="Arial" w:cs="Arial"/>
          <w:b/>
          <w:sz w:val="24"/>
          <w:szCs w:val="24"/>
        </w:rPr>
        <w:t>May</w:t>
      </w:r>
      <w:r>
        <w:rPr>
          <w:rFonts w:ascii="Arial" w:eastAsia="Arial" w:hAnsi="Arial" w:cs="Arial"/>
          <w:b/>
          <w:sz w:val="24"/>
          <w:szCs w:val="24"/>
        </w:rPr>
        <w:t xml:space="preserve"> 2025, Fukuoka, Japan</w:t>
      </w:r>
    </w:p>
    <w:p w14:paraId="00000003" w14:textId="43B14D34" w:rsidR="007250E9" w:rsidRDefault="002D4769">
      <w:pPr>
        <w:keepNext/>
        <w:tabs>
          <w:tab w:val="left" w:pos="2127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Title: 6G</w:t>
      </w:r>
      <w:r w:rsidR="00D15350">
        <w:rPr>
          <w:rFonts w:ascii="Arial" w:eastAsia="Arial" w:hAnsi="Arial" w:cs="Arial"/>
          <w:b/>
        </w:rPr>
        <w:t>-NTN use cases for 6G Study Item WA#</w:t>
      </w:r>
      <w:r w:rsidR="00444188">
        <w:rPr>
          <w:rFonts w:ascii="Arial" w:eastAsia="Arial" w:hAnsi="Arial" w:cs="Arial"/>
          <w:b/>
        </w:rPr>
        <w:t>8</w:t>
      </w:r>
      <w:r>
        <w:rPr>
          <w:rFonts w:ascii="Arial" w:eastAsia="Arial" w:hAnsi="Arial" w:cs="Arial"/>
          <w:b/>
        </w:rPr>
        <w:tab/>
      </w:r>
    </w:p>
    <w:p w14:paraId="00000004" w14:textId="4DB5D91D" w:rsidR="007250E9" w:rsidRDefault="002D4769">
      <w:pPr>
        <w:keepNext/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Source: </w:t>
      </w:r>
      <w:r>
        <w:rPr>
          <w:rFonts w:ascii="Arial" w:eastAsia="Arial" w:hAnsi="Arial" w:cs="Arial"/>
        </w:rPr>
        <w:t>EchoStar</w:t>
      </w:r>
      <w:r w:rsidR="009C0106">
        <w:rPr>
          <w:rFonts w:ascii="Arial" w:eastAsia="Arial" w:hAnsi="Arial" w:cs="Arial"/>
        </w:rPr>
        <w:t xml:space="preserve">, </w:t>
      </w:r>
      <w:r w:rsidR="006C5B75">
        <w:rPr>
          <w:rFonts w:ascii="Arial" w:eastAsia="Arial" w:hAnsi="Arial" w:cs="Arial"/>
        </w:rPr>
        <w:t xml:space="preserve">Boost Mobile Network, </w:t>
      </w:r>
      <w:r w:rsidR="00B67599">
        <w:rPr>
          <w:rFonts w:ascii="Arial" w:eastAsia="Arial" w:hAnsi="Arial" w:cs="Arial"/>
        </w:rPr>
        <w:t xml:space="preserve">TNO, </w:t>
      </w:r>
      <w:r w:rsidR="0043604F">
        <w:rPr>
          <w:rFonts w:ascii="Arial" w:eastAsia="Arial" w:hAnsi="Arial" w:cs="Arial"/>
        </w:rPr>
        <w:t>Novamint, Thales, Airbus</w:t>
      </w:r>
    </w:p>
    <w:p w14:paraId="00000005" w14:textId="09E3C74A" w:rsidR="007250E9" w:rsidRDefault="002D4769">
      <w:pPr>
        <w:keepNext/>
        <w:tabs>
          <w:tab w:val="left" w:pos="2127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Document </w:t>
      </w:r>
      <w:r w:rsidR="00B64FBE">
        <w:rPr>
          <w:rFonts w:ascii="Arial" w:eastAsia="Arial" w:hAnsi="Arial" w:cs="Arial"/>
          <w:b/>
        </w:rPr>
        <w:t>for:    Discussion</w:t>
      </w:r>
      <w:r>
        <w:rPr>
          <w:rFonts w:ascii="Arial" w:eastAsia="Arial" w:hAnsi="Arial" w:cs="Arial"/>
          <w:b/>
        </w:rPr>
        <w:t xml:space="preserve"> and Endorsement</w:t>
      </w:r>
    </w:p>
    <w:p w14:paraId="00000006" w14:textId="77777777" w:rsidR="007250E9" w:rsidRDefault="002D4769">
      <w:pPr>
        <w:keepNext/>
        <w:tabs>
          <w:tab w:val="left" w:pos="2127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Agenda Item: 30.3</w:t>
      </w:r>
      <w:r>
        <w:rPr>
          <w:rFonts w:ascii="Arial" w:eastAsia="Arial" w:hAnsi="Arial" w:cs="Arial"/>
          <w:b/>
        </w:rPr>
        <w:tab/>
      </w:r>
    </w:p>
    <w:p w14:paraId="00000007" w14:textId="2DECBEF6" w:rsidR="007250E9" w:rsidRPr="00D15350" w:rsidRDefault="002D4769" w:rsidP="00D15350">
      <w:pPr>
        <w:spacing w:after="120"/>
        <w:ind w:left="0" w:hanging="2"/>
        <w:rPr>
          <w:rFonts w:ascii="Arial" w:eastAsia="Arial" w:hAnsi="Arial" w:cs="Arial"/>
          <w:i/>
        </w:rPr>
      </w:pPr>
      <w:r w:rsidRPr="007B6FED">
        <w:rPr>
          <w:rFonts w:ascii="Arial" w:eastAsia="Arial" w:hAnsi="Arial" w:cs="Arial"/>
          <w:b/>
          <w:i/>
        </w:rPr>
        <w:t>Abstract:</w:t>
      </w:r>
      <w:r w:rsidR="003A263E">
        <w:rPr>
          <w:rFonts w:ascii="Arial" w:eastAsia="Arial" w:hAnsi="Arial" w:cs="Arial"/>
          <w:i/>
        </w:rPr>
        <w:t xml:space="preserve"> This contribution proposes </w:t>
      </w:r>
      <w:r w:rsidR="00D15350">
        <w:rPr>
          <w:rFonts w:ascii="Arial" w:eastAsia="Arial" w:hAnsi="Arial" w:cs="Arial"/>
          <w:i/>
        </w:rPr>
        <w:t xml:space="preserve">to add the listed 6G-NTN use cases as objectives to be addressed under WA# </w:t>
      </w:r>
      <w:r w:rsidR="00BB1590">
        <w:rPr>
          <w:rFonts w:ascii="Arial" w:eastAsia="Arial" w:hAnsi="Arial" w:cs="Arial"/>
          <w:i/>
        </w:rPr>
        <w:t>8</w:t>
      </w:r>
      <w:r w:rsidR="00D15350">
        <w:rPr>
          <w:rFonts w:ascii="Arial" w:eastAsia="Arial" w:hAnsi="Arial" w:cs="Arial"/>
          <w:i/>
        </w:rPr>
        <w:t xml:space="preserve"> of the 6G Study Item. </w:t>
      </w:r>
      <w:r>
        <w:rPr>
          <w:rFonts w:ascii="Arial" w:eastAsia="Arial" w:hAnsi="Arial" w:cs="Arial"/>
          <w:i/>
        </w:rPr>
        <w:t xml:space="preserve">This contribution kindly requests SA2 to </w:t>
      </w:r>
      <w:r w:rsidR="00DB396E">
        <w:rPr>
          <w:rFonts w:ascii="Arial" w:eastAsia="Arial" w:hAnsi="Arial" w:cs="Arial"/>
          <w:i/>
        </w:rPr>
        <w:t xml:space="preserve">discuss, </w:t>
      </w:r>
      <w:r>
        <w:rPr>
          <w:rFonts w:ascii="Arial" w:eastAsia="Arial" w:hAnsi="Arial" w:cs="Arial"/>
          <w:i/>
        </w:rPr>
        <w:t xml:space="preserve">endorse </w:t>
      </w:r>
      <w:r w:rsidR="00444188">
        <w:rPr>
          <w:rFonts w:ascii="Arial" w:eastAsia="Arial" w:hAnsi="Arial" w:cs="Arial"/>
          <w:i/>
        </w:rPr>
        <w:t xml:space="preserve">and approve </w:t>
      </w:r>
      <w:r w:rsidR="00D15350">
        <w:rPr>
          <w:rFonts w:ascii="Arial" w:eastAsia="Arial" w:hAnsi="Arial" w:cs="Arial"/>
          <w:i/>
        </w:rPr>
        <w:t>the conclusion</w:t>
      </w:r>
      <w:r>
        <w:rPr>
          <w:rFonts w:ascii="Arial" w:eastAsia="Arial" w:hAnsi="Arial" w:cs="Arial"/>
          <w:i/>
        </w:rPr>
        <w:t>.</w:t>
      </w:r>
    </w:p>
    <w:p w14:paraId="00000008" w14:textId="77777777" w:rsidR="007250E9" w:rsidRDefault="007250E9">
      <w:pPr>
        <w:pBdr>
          <w:top w:val="single" w:sz="4" w:space="1" w:color="000000"/>
        </w:pBdr>
        <w:ind w:left="0" w:hanging="2"/>
        <w:rPr>
          <w:sz w:val="16"/>
          <w:szCs w:val="16"/>
        </w:rPr>
      </w:pPr>
    </w:p>
    <w:p w14:paraId="00000009" w14:textId="77777777" w:rsidR="007250E9" w:rsidRDefault="002D4769">
      <w:pPr>
        <w:pStyle w:val="Heading4"/>
        <w:numPr>
          <w:ilvl w:val="0"/>
          <w:numId w:val="1"/>
        </w:numPr>
        <w:spacing w:before="0"/>
        <w:ind w:left="1" w:hanging="3"/>
        <w:rPr>
          <w:sz w:val="32"/>
          <w:szCs w:val="32"/>
        </w:rPr>
      </w:pPr>
      <w:r>
        <w:rPr>
          <w:sz w:val="32"/>
          <w:szCs w:val="32"/>
        </w:rPr>
        <w:t xml:space="preserve">      Introduction</w:t>
      </w:r>
    </w:p>
    <w:p w14:paraId="2BD91420" w14:textId="55BBEB4B" w:rsidR="00827903" w:rsidRDefault="00904D5E" w:rsidP="0002650D">
      <w:pPr>
        <w:spacing w:line="276" w:lineRule="auto"/>
        <w:ind w:left="0" w:hanging="2"/>
        <w:rPr>
          <w:rFonts w:eastAsia="SimSun"/>
        </w:rPr>
      </w:pPr>
      <w:r>
        <w:t>The first draft of the 6G S</w:t>
      </w:r>
      <w:r w:rsidR="00ED2E1D">
        <w:t>tudy Item</w:t>
      </w:r>
      <w:r>
        <w:t xml:space="preserve"> list</w:t>
      </w:r>
      <w:r w:rsidR="00263076">
        <w:t>s</w:t>
      </w:r>
      <w:r>
        <w:t xml:space="preserve"> </w:t>
      </w:r>
      <w:r w:rsidR="00827903">
        <w:t xml:space="preserve">the objectives and the Work Areas that will be covered in the </w:t>
      </w:r>
      <w:r w:rsidR="00DD05F6">
        <w:t>Study Item</w:t>
      </w:r>
      <w:r w:rsidR="00827903">
        <w:t>. WA#8 “</w:t>
      </w:r>
      <w:r w:rsidR="00827903" w:rsidRPr="00832F26">
        <w:rPr>
          <w:rFonts w:eastAsia="SimSun"/>
        </w:rPr>
        <w:t>Study how to support 6G RAT for NTN use cases</w:t>
      </w:r>
      <w:r w:rsidR="00827903">
        <w:rPr>
          <w:rFonts w:eastAsia="SimSun"/>
        </w:rPr>
        <w:t xml:space="preserve">” did not include a list of any </w:t>
      </w:r>
      <w:r w:rsidR="00BB1590">
        <w:rPr>
          <w:rFonts w:eastAsia="SimSun"/>
        </w:rPr>
        <w:t>of the objectives or the details of the use cases</w:t>
      </w:r>
      <w:r w:rsidR="00827903">
        <w:rPr>
          <w:rFonts w:eastAsia="SimSun"/>
        </w:rPr>
        <w:t xml:space="preserve">. This contribution proposes a list of NTN </w:t>
      </w:r>
      <w:r w:rsidR="005A1F5E">
        <w:rPr>
          <w:rFonts w:eastAsia="SimSun"/>
        </w:rPr>
        <w:t>related topics</w:t>
      </w:r>
      <w:r w:rsidR="00827903">
        <w:rPr>
          <w:rFonts w:eastAsia="SimSun"/>
        </w:rPr>
        <w:t xml:space="preserve"> to be studied as part of the </w:t>
      </w:r>
      <w:r w:rsidR="005A1F5E">
        <w:rPr>
          <w:rFonts w:eastAsia="SimSun"/>
        </w:rPr>
        <w:t xml:space="preserve">SA2 led </w:t>
      </w:r>
      <w:r w:rsidR="00827903">
        <w:rPr>
          <w:rFonts w:eastAsia="SimSun"/>
        </w:rPr>
        <w:t>6G Study Item.</w:t>
      </w:r>
    </w:p>
    <w:p w14:paraId="0000000B" w14:textId="326CC295" w:rsidR="007250E9" w:rsidRDefault="00C86E08" w:rsidP="00827903">
      <w:pPr>
        <w:pStyle w:val="ListParagraph"/>
        <w:numPr>
          <w:ilvl w:val="0"/>
          <w:numId w:val="1"/>
        </w:numPr>
        <w:spacing w:line="276" w:lineRule="auto"/>
        <w:ind w:leftChars="0" w:left="1260" w:firstLineChars="0" w:hanging="126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Discussion</w:t>
      </w:r>
    </w:p>
    <w:p w14:paraId="2FBF6673" w14:textId="3ADCE72B" w:rsidR="00CE0312" w:rsidRDefault="00174ED9" w:rsidP="00CE0312">
      <w:pPr>
        <w:spacing w:line="276" w:lineRule="auto"/>
        <w:ind w:left="0" w:hanging="2"/>
      </w:pPr>
      <w:r>
        <w:t>S</w:t>
      </w:r>
      <w:r w:rsidR="00C86E08">
        <w:t xml:space="preserve">ome of the </w:t>
      </w:r>
      <w:r w:rsidR="005A1F5E">
        <w:t xml:space="preserve">proposed </w:t>
      </w:r>
      <w:r w:rsidR="00C86E08">
        <w:t xml:space="preserve">objectives is </w:t>
      </w:r>
      <w:r w:rsidR="00CE0312">
        <w:t>enhancements</w:t>
      </w:r>
      <w:r w:rsidR="00C86E08">
        <w:t xml:space="preserve"> to existing functionality but necessary to ensure </w:t>
      </w:r>
      <w:r w:rsidR="00CE0312">
        <w:t xml:space="preserve">full </w:t>
      </w:r>
      <w:r w:rsidR="00C86E08">
        <w:t xml:space="preserve">6G </w:t>
      </w:r>
      <w:r w:rsidR="00CE0312">
        <w:t>ubiquitous</w:t>
      </w:r>
      <w:r w:rsidR="00C86E08">
        <w:t xml:space="preserve"> coverage</w:t>
      </w:r>
      <w:r w:rsidR="00CE0312">
        <w:t>.</w:t>
      </w:r>
      <w:r w:rsidR="00274274">
        <w:t xml:space="preserve"> It </w:t>
      </w:r>
      <w:r>
        <w:t>is understandable that backward compatibility does not require a separate use case but should be one of the objectives of this WA.</w:t>
      </w:r>
    </w:p>
    <w:p w14:paraId="5B27A9FC" w14:textId="6D0E513B" w:rsidR="00D23636" w:rsidRPr="00D23636" w:rsidRDefault="002D4769" w:rsidP="00FC5056">
      <w:pPr>
        <w:pStyle w:val="Heading4"/>
        <w:ind w:left="1" w:right="-171" w:hanging="3"/>
        <w:rPr>
          <w:sz w:val="32"/>
          <w:szCs w:val="32"/>
        </w:rPr>
      </w:pPr>
      <w:r>
        <w:rPr>
          <w:sz w:val="32"/>
          <w:szCs w:val="32"/>
        </w:rPr>
        <w:t>2.</w:t>
      </w:r>
      <w:r w:rsidR="0002650D">
        <w:rPr>
          <w:sz w:val="32"/>
          <w:szCs w:val="32"/>
        </w:rPr>
        <w:t>1</w:t>
      </w:r>
      <w:r>
        <w:rPr>
          <w:sz w:val="32"/>
          <w:szCs w:val="32"/>
        </w:rPr>
        <w:t xml:space="preserve">     </w:t>
      </w:r>
      <w:r w:rsidR="00CE0312" w:rsidRPr="00CE0312">
        <w:rPr>
          <w:sz w:val="32"/>
          <w:szCs w:val="32"/>
        </w:rPr>
        <w:t xml:space="preserve">6G </w:t>
      </w:r>
      <w:r w:rsidR="002D171E">
        <w:rPr>
          <w:sz w:val="32"/>
          <w:szCs w:val="32"/>
        </w:rPr>
        <w:t xml:space="preserve">RAT including </w:t>
      </w:r>
      <w:r w:rsidR="00CE0312" w:rsidRPr="00CE0312">
        <w:rPr>
          <w:sz w:val="32"/>
          <w:szCs w:val="32"/>
        </w:rPr>
        <w:t xml:space="preserve">NTN </w:t>
      </w:r>
      <w:r w:rsidR="002D171E">
        <w:rPr>
          <w:sz w:val="32"/>
          <w:szCs w:val="32"/>
        </w:rPr>
        <w:t xml:space="preserve">capabilities </w:t>
      </w:r>
    </w:p>
    <w:p w14:paraId="5B44056E" w14:textId="34A95E64" w:rsidR="005B3DAE" w:rsidRDefault="005A1F5E" w:rsidP="00274274">
      <w:pPr>
        <w:spacing w:line="276" w:lineRule="auto"/>
        <w:ind w:left="0" w:hanging="2"/>
      </w:pPr>
      <w:r>
        <w:t xml:space="preserve">The core network shall support </w:t>
      </w:r>
      <w:r w:rsidR="00274274">
        <w:t xml:space="preserve">6G </w:t>
      </w:r>
      <w:r w:rsidR="002D171E">
        <w:t>RAT including capabilities</w:t>
      </w:r>
      <w:r w:rsidR="0043604F">
        <w:t xml:space="preserve"> for NTN</w:t>
      </w:r>
      <w:r w:rsidR="00274274">
        <w:t xml:space="preserve">. </w:t>
      </w:r>
      <w:r w:rsidR="005B3DAE">
        <w:t>T</w:t>
      </w:r>
      <w:r w:rsidR="00274274">
        <w:t xml:space="preserve">he study item should </w:t>
      </w:r>
      <w:r w:rsidR="005B3DAE">
        <w:t xml:space="preserve">clearly scope its </w:t>
      </w:r>
      <w:r w:rsidR="00274274">
        <w:t xml:space="preserve">objective to </w:t>
      </w:r>
      <w:r w:rsidR="005B3DAE">
        <w:t xml:space="preserve">focus on </w:t>
      </w:r>
      <w:r w:rsidR="00274274">
        <w:t xml:space="preserve">studying </w:t>
      </w:r>
      <w:r>
        <w:t>the support by the core network</w:t>
      </w:r>
      <w:r w:rsidR="0043604F">
        <w:t xml:space="preserve">’s capability to enable and manage </w:t>
      </w:r>
      <w:r>
        <w:t xml:space="preserve">the </w:t>
      </w:r>
      <w:r w:rsidR="00274274">
        <w:t xml:space="preserve">6G </w:t>
      </w:r>
      <w:r w:rsidR="002D171E">
        <w:t xml:space="preserve">RAT including </w:t>
      </w:r>
      <w:r w:rsidR="00274274">
        <w:t xml:space="preserve">NTN </w:t>
      </w:r>
      <w:r w:rsidR="002D171E">
        <w:t>capabilities</w:t>
      </w:r>
      <w:r w:rsidR="00274274">
        <w:t xml:space="preserve">. </w:t>
      </w:r>
    </w:p>
    <w:p w14:paraId="0000000F" w14:textId="125E3D58" w:rsidR="007250E9" w:rsidRDefault="00D23636" w:rsidP="00D23636">
      <w:pPr>
        <w:pStyle w:val="Heading4"/>
        <w:ind w:left="1" w:hanging="3"/>
        <w:rPr>
          <w:sz w:val="32"/>
          <w:szCs w:val="32"/>
        </w:rPr>
      </w:pPr>
      <w:r>
        <w:rPr>
          <w:sz w:val="32"/>
          <w:szCs w:val="32"/>
        </w:rPr>
        <w:t xml:space="preserve">2.2.    </w:t>
      </w:r>
      <w:r w:rsidR="00B737A2">
        <w:rPr>
          <w:sz w:val="32"/>
          <w:szCs w:val="32"/>
        </w:rPr>
        <w:t xml:space="preserve">Seamless </w:t>
      </w:r>
      <w:r w:rsidRPr="00D23636">
        <w:rPr>
          <w:sz w:val="32"/>
          <w:szCs w:val="32"/>
        </w:rPr>
        <w:t>TN-NTN Service Continuit</w:t>
      </w:r>
      <w:r w:rsidR="00BB1590">
        <w:rPr>
          <w:sz w:val="32"/>
          <w:szCs w:val="32"/>
        </w:rPr>
        <w:t>y</w:t>
      </w:r>
    </w:p>
    <w:p w14:paraId="2880135F" w14:textId="253E709E" w:rsidR="005B3DAE" w:rsidRDefault="00BB080C" w:rsidP="00B86B25">
      <w:pPr>
        <w:spacing w:line="276" w:lineRule="auto"/>
        <w:ind w:left="0" w:hanging="2"/>
      </w:pPr>
      <w:r>
        <w:t xml:space="preserve">Seamless service continuity between </w:t>
      </w:r>
      <w:r w:rsidR="00AE19B0">
        <w:t>TN</w:t>
      </w:r>
      <w:r>
        <w:t xml:space="preserve"> and NTN is </w:t>
      </w:r>
      <w:r w:rsidR="005B3DAE">
        <w:t xml:space="preserve">essential </w:t>
      </w:r>
      <w:r>
        <w:t xml:space="preserve">to </w:t>
      </w:r>
      <w:r w:rsidR="00FC5056">
        <w:t>achieving</w:t>
      </w:r>
      <w:r w:rsidR="005B3DAE">
        <w:t xml:space="preserve"> truly ubiquitous</w:t>
      </w:r>
      <w:r>
        <w:t xml:space="preserve"> </w:t>
      </w:r>
      <w:r w:rsidR="005B3DAE">
        <w:t xml:space="preserve">6G </w:t>
      </w:r>
      <w:r>
        <w:t xml:space="preserve">coverage. Supporting service continuity should </w:t>
      </w:r>
      <w:r w:rsidR="005A1F5E">
        <w:t xml:space="preserve">also </w:t>
      </w:r>
      <w:r>
        <w:t>include</w:t>
      </w:r>
      <w:r w:rsidR="005A1F5E">
        <w:t xml:space="preserve"> mobility </w:t>
      </w:r>
      <w:r w:rsidR="00FC5056">
        <w:t xml:space="preserve">across </w:t>
      </w:r>
      <w:r w:rsidR="005A1F5E">
        <w:t>6G NTN</w:t>
      </w:r>
      <w:r w:rsidR="00FC5056">
        <w:t>, 5GNTN</w:t>
      </w:r>
      <w:r w:rsidR="00263076">
        <w:t xml:space="preserve"> </w:t>
      </w:r>
      <w:r w:rsidR="005A1F5E">
        <w:t xml:space="preserve">and </w:t>
      </w:r>
      <w:r>
        <w:t>both 5G and 4G</w:t>
      </w:r>
      <w:r w:rsidR="005B3DAE">
        <w:t xml:space="preserve"> </w:t>
      </w:r>
      <w:r w:rsidR="005A1F5E">
        <w:t>terrestrial networks</w:t>
      </w:r>
      <w:r>
        <w:t>.</w:t>
      </w:r>
      <w:r w:rsidR="00B67599">
        <w:t xml:space="preserve"> This topic has dependency on SA1 ongoing </w:t>
      </w:r>
      <w:r w:rsidR="0016458C">
        <w:t xml:space="preserve">6G </w:t>
      </w:r>
      <w:r w:rsidR="00B67599">
        <w:t>study and agreement of seamless service continuity.</w:t>
      </w:r>
    </w:p>
    <w:p w14:paraId="4FABA955" w14:textId="77777777" w:rsidR="0036278E" w:rsidRDefault="002D4769" w:rsidP="00D23636">
      <w:pPr>
        <w:pStyle w:val="Heading4"/>
        <w:ind w:left="1" w:hanging="3"/>
        <w:rPr>
          <w:sz w:val="32"/>
          <w:szCs w:val="32"/>
        </w:rPr>
      </w:pPr>
      <w:r>
        <w:rPr>
          <w:sz w:val="32"/>
          <w:szCs w:val="32"/>
        </w:rPr>
        <w:t>2.</w:t>
      </w:r>
      <w:r w:rsidR="00D23636">
        <w:rPr>
          <w:sz w:val="32"/>
          <w:szCs w:val="32"/>
        </w:rPr>
        <w:t>3</w:t>
      </w:r>
      <w:r>
        <w:rPr>
          <w:sz w:val="32"/>
          <w:szCs w:val="32"/>
        </w:rPr>
        <w:t xml:space="preserve">     </w:t>
      </w:r>
      <w:r w:rsidR="0036278E" w:rsidRPr="00CE0312">
        <w:rPr>
          <w:sz w:val="32"/>
          <w:szCs w:val="32"/>
        </w:rPr>
        <w:t>6G NTN and existing NTN networks</w:t>
      </w:r>
      <w:r w:rsidR="0036278E">
        <w:rPr>
          <w:sz w:val="32"/>
          <w:szCs w:val="32"/>
        </w:rPr>
        <w:t xml:space="preserve"> Interworking</w:t>
      </w:r>
      <w:r w:rsidR="0036278E" w:rsidRPr="00D23636">
        <w:rPr>
          <w:sz w:val="32"/>
          <w:szCs w:val="32"/>
        </w:rPr>
        <w:t xml:space="preserve"> </w:t>
      </w:r>
    </w:p>
    <w:p w14:paraId="20D16D2E" w14:textId="7E491BB5" w:rsidR="0036278E" w:rsidRPr="003F0447" w:rsidRDefault="00932076" w:rsidP="003F0447">
      <w:pPr>
        <w:spacing w:line="276" w:lineRule="auto"/>
        <w:ind w:left="0" w:hanging="2"/>
      </w:pPr>
      <w:r>
        <w:t xml:space="preserve">It is an obvious use case and requirement to have </w:t>
      </w:r>
      <w:r w:rsidR="003F0447" w:rsidRPr="003F0447">
        <w:t>6G NTN network</w:t>
      </w:r>
      <w:r w:rsidR="003F0447">
        <w:t xml:space="preserve"> interworking with prior </w:t>
      </w:r>
      <w:r w:rsidR="005A1F5E">
        <w:t xml:space="preserve">3GPP defined NTN </w:t>
      </w:r>
      <w:r>
        <w:t>access technology</w:t>
      </w:r>
      <w:r w:rsidR="003F0447">
        <w:t xml:space="preserve">, i.e., </w:t>
      </w:r>
      <w:r w:rsidR="005A1F5E">
        <w:t xml:space="preserve">NR-NTN </w:t>
      </w:r>
      <w:r w:rsidR="003F0447">
        <w:t xml:space="preserve">and </w:t>
      </w:r>
      <w:r w:rsidR="005A1F5E">
        <w:t>IoT-NTN</w:t>
      </w:r>
      <w:r>
        <w:t xml:space="preserve">. </w:t>
      </w:r>
    </w:p>
    <w:p w14:paraId="5B214CEC" w14:textId="0A220E5F" w:rsidR="00BF77BD" w:rsidRPr="00BF77BD" w:rsidRDefault="0036278E" w:rsidP="00C067C0">
      <w:pPr>
        <w:pStyle w:val="Heading4"/>
        <w:ind w:left="1" w:hanging="3"/>
        <w:rPr>
          <w:sz w:val="32"/>
          <w:szCs w:val="32"/>
        </w:rPr>
      </w:pPr>
      <w:r>
        <w:rPr>
          <w:sz w:val="32"/>
          <w:szCs w:val="32"/>
        </w:rPr>
        <w:t xml:space="preserve">2.4     </w:t>
      </w:r>
      <w:r w:rsidR="00C067C0">
        <w:rPr>
          <w:sz w:val="32"/>
          <w:szCs w:val="32"/>
        </w:rPr>
        <w:t xml:space="preserve">Key enabler for </w:t>
      </w:r>
      <w:r w:rsidR="00BF77BD">
        <w:rPr>
          <w:sz w:val="32"/>
          <w:szCs w:val="32"/>
        </w:rPr>
        <w:t>6G use</w:t>
      </w:r>
      <w:r w:rsidR="00C067C0">
        <w:rPr>
          <w:sz w:val="32"/>
          <w:szCs w:val="32"/>
        </w:rPr>
        <w:t xml:space="preserve"> </w:t>
      </w:r>
      <w:r w:rsidR="00BF77BD">
        <w:rPr>
          <w:sz w:val="32"/>
          <w:szCs w:val="32"/>
        </w:rPr>
        <w:t xml:space="preserve">case </w:t>
      </w:r>
      <w:r w:rsidR="00C067C0" w:rsidRPr="00BF77BD">
        <w:rPr>
          <w:sz w:val="32"/>
          <w:szCs w:val="32"/>
        </w:rPr>
        <w:t xml:space="preserve">requiring ubiquitous coverage </w:t>
      </w:r>
    </w:p>
    <w:p w14:paraId="7AA6F959" w14:textId="77E1E29B" w:rsidR="00BF77BD" w:rsidRDefault="00932076" w:rsidP="00932076">
      <w:pPr>
        <w:spacing w:line="276" w:lineRule="auto"/>
        <w:ind w:left="0" w:hanging="2"/>
      </w:pPr>
      <w:r>
        <w:t xml:space="preserve">There are </w:t>
      </w:r>
      <w:r w:rsidR="00745984">
        <w:t xml:space="preserve">several </w:t>
      </w:r>
      <w:r>
        <w:t xml:space="preserve">critical 6G use cases, e.g., Native AI and AI-driven applications, integrated sensing, and </w:t>
      </w:r>
      <w:r w:rsidR="00745984">
        <w:t>other advanced services that demand ultra-reliable and improved reachability</w:t>
      </w:r>
      <w:r>
        <w:t xml:space="preserve">. </w:t>
      </w:r>
      <w:r w:rsidR="00745984" w:rsidRPr="00745984">
        <w:t>Many of these use cases will require truly ubiquitous, global coverage—extending beyond the reach of terrestrial networks.</w:t>
      </w:r>
      <w:r w:rsidR="00745984">
        <w:t xml:space="preserve"> </w:t>
      </w:r>
      <w:r>
        <w:t xml:space="preserve">It is </w:t>
      </w:r>
      <w:r w:rsidR="00745984">
        <w:t>therefore essential</w:t>
      </w:r>
      <w:r>
        <w:t xml:space="preserve"> to investigate and study how NTN can </w:t>
      </w:r>
      <w:r w:rsidR="00745984">
        <w:t>serve</w:t>
      </w:r>
      <w:r>
        <w:t xml:space="preserve"> as a</w:t>
      </w:r>
      <w:r w:rsidR="00274274">
        <w:t xml:space="preserve"> key</w:t>
      </w:r>
      <w:r>
        <w:t xml:space="preserve"> enabler </w:t>
      </w:r>
      <w:r w:rsidR="00274274">
        <w:t>for 6G critical use cases which require ubiquitous coverage.</w:t>
      </w:r>
      <w:r w:rsidR="00745984">
        <w:t xml:space="preserve"> This study should form a foundational part of 6G development roadmap to ensure NTN capabilities are fully aligned with the requirements of emerging use cases.</w:t>
      </w:r>
    </w:p>
    <w:p w14:paraId="3EFEAE49" w14:textId="77777777" w:rsidR="00745984" w:rsidRPr="00685D35" w:rsidRDefault="00745984" w:rsidP="00932076">
      <w:pPr>
        <w:spacing w:line="276" w:lineRule="auto"/>
        <w:ind w:left="0" w:hanging="2"/>
        <w:rPr>
          <w:lang w:val="en-US"/>
        </w:rPr>
      </w:pPr>
    </w:p>
    <w:p w14:paraId="7177E84C" w14:textId="77777777" w:rsidR="00745984" w:rsidRPr="00932076" w:rsidRDefault="00745984" w:rsidP="00932076">
      <w:pPr>
        <w:spacing w:line="276" w:lineRule="auto"/>
        <w:ind w:left="0" w:hanging="2"/>
      </w:pPr>
    </w:p>
    <w:p w14:paraId="00000013" w14:textId="111B2AE7" w:rsidR="007250E9" w:rsidRDefault="00C067C0" w:rsidP="00D23636">
      <w:pPr>
        <w:pStyle w:val="Heading4"/>
        <w:ind w:left="1" w:hanging="3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2.5     </w:t>
      </w:r>
      <w:r w:rsidR="006E79C7" w:rsidRPr="00C067C0">
        <w:rPr>
          <w:sz w:val="32"/>
          <w:szCs w:val="32"/>
        </w:rPr>
        <w:t>Multi-Orbit Satellite</w:t>
      </w:r>
    </w:p>
    <w:p w14:paraId="2A7BBF74" w14:textId="0CED254F" w:rsidR="00C067C0" w:rsidRDefault="006E79C7" w:rsidP="00685D35">
      <w:pPr>
        <w:spacing w:line="276" w:lineRule="auto"/>
        <w:ind w:left="0" w:hanging="2"/>
      </w:pPr>
      <w:r>
        <w:t>Multi-Orbit Satellite support</w:t>
      </w:r>
      <w:r w:rsidR="00433102">
        <w:t xml:space="preserve"> </w:t>
      </w:r>
      <w:r w:rsidR="00433102" w:rsidRPr="00433102">
        <w:t xml:space="preserve">utilizing a combination of satellite constellations in different orbits (like LEO, MEO, and GEO) </w:t>
      </w:r>
      <w:r w:rsidR="00433102">
        <w:t xml:space="preserve">is </w:t>
      </w:r>
      <w:r w:rsidR="00745984">
        <w:t xml:space="preserve">essential for enabling </w:t>
      </w:r>
      <w:r w:rsidR="005A1F5E">
        <w:t>ubiquitous coverage, network resiliency and address some sustainability aspects</w:t>
      </w:r>
      <w:r w:rsidR="00433102">
        <w:t>.</w:t>
      </w:r>
      <w:r>
        <w:t xml:space="preserve"> </w:t>
      </w:r>
      <w:r w:rsidR="0043604F">
        <w:t xml:space="preserve">The </w:t>
      </w:r>
      <w:r w:rsidR="0043604F" w:rsidRPr="0043604F">
        <w:t xml:space="preserve">work </w:t>
      </w:r>
      <w:r w:rsidR="0043604F">
        <w:t xml:space="preserve">on multi-orbit </w:t>
      </w:r>
      <w:r w:rsidR="0043604F" w:rsidRPr="0043604F">
        <w:t>is already ongoing in 5G-Advanced and will be quite established by end of Re-20</w:t>
      </w:r>
      <w:r w:rsidR="0043604F">
        <w:t>.</w:t>
      </w:r>
      <w:r w:rsidR="0043604F" w:rsidRPr="0043604F">
        <w:t xml:space="preserve"> </w:t>
      </w:r>
      <w:r w:rsidR="0043604F">
        <w:t>I</w:t>
      </w:r>
      <w:r w:rsidR="0043604F" w:rsidRPr="0043604F">
        <w:t xml:space="preserve">t is important to leverage existing multi orbit solutions developed in 5G and study how to extend it in 6G context. </w:t>
      </w:r>
      <w:r>
        <w:t xml:space="preserve">This </w:t>
      </w:r>
      <w:r w:rsidR="00433102">
        <w:t xml:space="preserve">is </w:t>
      </w:r>
      <w:r w:rsidR="00745984">
        <w:t xml:space="preserve">particularly relevant </w:t>
      </w:r>
      <w:r w:rsidR="00433102">
        <w:t xml:space="preserve">to 6G TN-NTN and </w:t>
      </w:r>
      <w:r>
        <w:t>should be one of the objectives of this WA study.</w:t>
      </w:r>
      <w:r w:rsidR="00433102">
        <w:t xml:space="preserve"> Supporting this enables 6G to </w:t>
      </w:r>
      <w:r w:rsidR="00433102" w:rsidRPr="00433102">
        <w:t>leverage the strengths of each orbit type to offer a variety of services, such as low-latency communications for mobile users or high-bandwidth data transfer for critical applications</w:t>
      </w:r>
      <w:r w:rsidR="005A1F5E">
        <w:t xml:space="preserve"> as well as </w:t>
      </w:r>
      <w:r w:rsidR="000D160B">
        <w:t>one to many applications</w:t>
      </w:r>
      <w:r w:rsidR="00433102" w:rsidRPr="00433102">
        <w:t>.</w:t>
      </w:r>
      <w:r w:rsidR="002C695C">
        <w:t xml:space="preserve"> </w:t>
      </w:r>
    </w:p>
    <w:p w14:paraId="1B8E53C1" w14:textId="5F96C50B" w:rsidR="00CA437F" w:rsidRPr="005513AF" w:rsidRDefault="00CA437F" w:rsidP="009B329A">
      <w:pPr>
        <w:pStyle w:val="TOCHeading"/>
        <w:ind w:left="1" w:hanging="3"/>
        <w:rPr>
          <w:rFonts w:ascii="Arial" w:hAnsi="Arial"/>
          <w:b w:val="0"/>
          <w:bCs w:val="0"/>
          <w:kern w:val="0"/>
        </w:rPr>
      </w:pPr>
      <w:r w:rsidRPr="005513AF">
        <w:rPr>
          <w:rFonts w:ascii="Arial" w:hAnsi="Arial"/>
          <w:b w:val="0"/>
          <w:bCs w:val="0"/>
          <w:kern w:val="0"/>
        </w:rPr>
        <w:t xml:space="preserve">2.6 </w:t>
      </w:r>
      <w:r w:rsidR="00A25C0F" w:rsidRPr="005513AF">
        <w:rPr>
          <w:rFonts w:ascii="Arial" w:hAnsi="Arial"/>
          <w:b w:val="0"/>
          <w:bCs w:val="0"/>
          <w:kern w:val="0"/>
        </w:rPr>
        <w:t xml:space="preserve">    </w:t>
      </w:r>
      <w:r w:rsidR="00ED2062" w:rsidRPr="005513AF">
        <w:rPr>
          <w:rFonts w:ascii="Arial" w:hAnsi="Arial"/>
          <w:b w:val="0"/>
          <w:bCs w:val="0"/>
          <w:kern w:val="0"/>
        </w:rPr>
        <w:t>Multicast</w:t>
      </w:r>
      <w:r w:rsidR="00CF2313" w:rsidRPr="005513AF">
        <w:rPr>
          <w:rFonts w:ascii="Arial" w:hAnsi="Arial"/>
          <w:b w:val="0"/>
          <w:bCs w:val="0"/>
          <w:kern w:val="0"/>
        </w:rPr>
        <w:t xml:space="preserve"> and </w:t>
      </w:r>
      <w:r w:rsidR="00ED2062" w:rsidRPr="005513AF">
        <w:rPr>
          <w:rFonts w:ascii="Arial" w:hAnsi="Arial"/>
          <w:b w:val="0"/>
          <w:bCs w:val="0"/>
          <w:kern w:val="0"/>
        </w:rPr>
        <w:t>Broadcast</w:t>
      </w:r>
    </w:p>
    <w:p w14:paraId="517414EB" w14:textId="0AFA41F6" w:rsidR="003F1135" w:rsidRDefault="003F1135" w:rsidP="00685D35">
      <w:pPr>
        <w:spacing w:line="276" w:lineRule="auto"/>
        <w:ind w:left="0" w:hanging="2"/>
      </w:pPr>
      <w:r w:rsidRPr="003F1135">
        <w:t>Multicast/broadcast over NTN ensures services like education, disaster alerts, or public broadcasting can reach all users, regardless of location</w:t>
      </w:r>
      <w:r w:rsidR="00945FD4">
        <w:t xml:space="preserve">. </w:t>
      </w:r>
      <w:r w:rsidR="00F05D77" w:rsidRPr="00F05D77">
        <w:t>Broadcast and multicast support over 6G NTN is essential to deliver efficient, scalable, and universally accessible services</w:t>
      </w:r>
      <w:r w:rsidR="009B329A">
        <w:t>.</w:t>
      </w:r>
    </w:p>
    <w:p w14:paraId="0F6FC367" w14:textId="20B2699D" w:rsidR="00CF2313" w:rsidRPr="005513AF" w:rsidRDefault="00CF2313" w:rsidP="0098023A">
      <w:pPr>
        <w:pStyle w:val="TOCHeading"/>
        <w:ind w:left="1" w:hanging="3"/>
        <w:rPr>
          <w:rFonts w:ascii="Arial" w:hAnsi="Arial"/>
          <w:b w:val="0"/>
          <w:bCs w:val="0"/>
          <w:kern w:val="0"/>
        </w:rPr>
      </w:pPr>
      <w:r w:rsidRPr="005513AF">
        <w:rPr>
          <w:rFonts w:ascii="Arial" w:hAnsi="Arial"/>
          <w:b w:val="0"/>
          <w:bCs w:val="0"/>
          <w:kern w:val="0"/>
        </w:rPr>
        <w:t xml:space="preserve">2.7 </w:t>
      </w:r>
      <w:r w:rsidR="00A25C0F" w:rsidRPr="005513AF">
        <w:rPr>
          <w:rFonts w:ascii="Arial" w:hAnsi="Arial"/>
          <w:b w:val="0"/>
          <w:bCs w:val="0"/>
          <w:kern w:val="0"/>
        </w:rPr>
        <w:t xml:space="preserve">    </w:t>
      </w:r>
      <w:r w:rsidRPr="005513AF">
        <w:rPr>
          <w:rFonts w:ascii="Arial" w:hAnsi="Arial"/>
          <w:b w:val="0"/>
          <w:bCs w:val="0"/>
          <w:kern w:val="0"/>
        </w:rPr>
        <w:t>Positioning</w:t>
      </w:r>
      <w:r w:rsidR="00216453" w:rsidRPr="005513AF">
        <w:rPr>
          <w:rFonts w:ascii="Arial" w:hAnsi="Arial"/>
          <w:b w:val="0"/>
          <w:bCs w:val="0"/>
          <w:kern w:val="0"/>
        </w:rPr>
        <w:t xml:space="preserve"> Navigation and Tracking</w:t>
      </w:r>
      <w:r w:rsidR="00696282" w:rsidRPr="005513AF">
        <w:rPr>
          <w:rFonts w:ascii="Arial" w:hAnsi="Arial"/>
          <w:b w:val="0"/>
          <w:bCs w:val="0"/>
          <w:kern w:val="0"/>
        </w:rPr>
        <w:t xml:space="preserve"> (PNT)</w:t>
      </w:r>
    </w:p>
    <w:p w14:paraId="6808376E" w14:textId="3E118A81" w:rsidR="00453EFF" w:rsidRPr="006E79C7" w:rsidRDefault="0098023A" w:rsidP="00685D35">
      <w:pPr>
        <w:spacing w:line="276" w:lineRule="auto"/>
        <w:ind w:left="0" w:hanging="2"/>
      </w:pPr>
      <w:r w:rsidRPr="0098023A">
        <w:t xml:space="preserve">PNT in 6G </w:t>
      </w:r>
      <w:r w:rsidR="00F53D46">
        <w:t xml:space="preserve">is </w:t>
      </w:r>
      <w:r w:rsidRPr="0098023A">
        <w:t xml:space="preserve">a core enabler for intelligent infrastructure, unlocking a wide range of services in automation, safety, immersive experiences, and beyond. </w:t>
      </w:r>
      <w:r w:rsidR="00453EFF" w:rsidRPr="00453EFF">
        <w:t>The role of 6G Non-Terrestrial Networks (NTN) in PNT is central to the vision of ubiquitous, high-accuracy, and resilient location services in 6G</w:t>
      </w:r>
      <w:r w:rsidR="00E06B31">
        <w:t>.</w:t>
      </w:r>
    </w:p>
    <w:p w14:paraId="00000018" w14:textId="77777777" w:rsidR="007250E9" w:rsidRDefault="002D4769">
      <w:pPr>
        <w:pStyle w:val="Heading4"/>
        <w:ind w:left="1" w:hanging="3"/>
        <w:rPr>
          <w:sz w:val="32"/>
          <w:szCs w:val="32"/>
        </w:rPr>
      </w:pPr>
      <w:r>
        <w:rPr>
          <w:sz w:val="32"/>
          <w:szCs w:val="32"/>
        </w:rPr>
        <w:t>3.      Conclusion and Proposal</w:t>
      </w:r>
    </w:p>
    <w:p w14:paraId="0000001C" w14:textId="4A7B179A" w:rsidR="007250E9" w:rsidRDefault="002D4769" w:rsidP="004B0908">
      <w:pPr>
        <w:spacing w:line="276" w:lineRule="auto"/>
        <w:ind w:left="0" w:hanging="2"/>
      </w:pPr>
      <w:r>
        <w:t xml:space="preserve">SA2 is </w:t>
      </w:r>
      <w:r w:rsidR="004B0908">
        <w:t xml:space="preserve">kindly </w:t>
      </w:r>
      <w:r>
        <w:t xml:space="preserve">requested to </w:t>
      </w:r>
      <w:r w:rsidR="00BB74FC">
        <w:t xml:space="preserve">discuss, </w:t>
      </w:r>
      <w:r>
        <w:t xml:space="preserve">endorse </w:t>
      </w:r>
      <w:r w:rsidR="00C01407">
        <w:t xml:space="preserve">and approve </w:t>
      </w:r>
      <w:r w:rsidR="004B0908">
        <w:t xml:space="preserve">the following study </w:t>
      </w:r>
      <w:r w:rsidR="005A4977">
        <w:t xml:space="preserve">use cases and </w:t>
      </w:r>
      <w:r w:rsidR="004B0908">
        <w:t xml:space="preserve">objectives for WA# 8 </w:t>
      </w:r>
      <w:r w:rsidR="00C01407">
        <w:t>“</w:t>
      </w:r>
      <w:r w:rsidR="00C01407" w:rsidRPr="00C01407">
        <w:t>Study how to support 6G RAT for NTN use cases</w:t>
      </w:r>
      <w:r w:rsidR="00C01407">
        <w:t xml:space="preserve">” </w:t>
      </w:r>
      <w:r w:rsidR="004B0908">
        <w:t>in 6G study item.</w:t>
      </w:r>
    </w:p>
    <w:p w14:paraId="15DA8908" w14:textId="364E7D0B" w:rsidR="00C01407" w:rsidRDefault="00C01407" w:rsidP="004B0908">
      <w:pPr>
        <w:spacing w:line="276" w:lineRule="auto"/>
        <w:ind w:left="0" w:hanging="2"/>
      </w:pPr>
      <w:r w:rsidRPr="00832F26">
        <w:rPr>
          <w:rFonts w:eastAsia="SimSun"/>
          <w:b/>
        </w:rPr>
        <w:t>WT#</w:t>
      </w:r>
      <w:r>
        <w:rPr>
          <w:rFonts w:eastAsia="SimSun"/>
          <w:b/>
        </w:rPr>
        <w:t>8</w:t>
      </w:r>
      <w:r w:rsidRPr="00832F26">
        <w:rPr>
          <w:rFonts w:eastAsia="SimSun"/>
          <w:b/>
        </w:rPr>
        <w:t xml:space="preserve">: </w:t>
      </w:r>
      <w:bookmarkStart w:id="0" w:name="_Hlk197509310"/>
      <w:r w:rsidRPr="00832F26">
        <w:rPr>
          <w:rFonts w:eastAsia="SimSun"/>
        </w:rPr>
        <w:t>Study how to support 6G RAT for NTN use cases.</w:t>
      </w:r>
      <w:bookmarkEnd w:id="0"/>
    </w:p>
    <w:p w14:paraId="1CDED4AC" w14:textId="68C9FB06" w:rsidR="00C01407" w:rsidRPr="005B79B4" w:rsidRDefault="00C01407" w:rsidP="00DE4FCE">
      <w:pPr>
        <w:pStyle w:val="ListParagraph"/>
        <w:numPr>
          <w:ilvl w:val="0"/>
          <w:numId w:val="9"/>
        </w:numPr>
        <w:suppressAutoHyphens w:val="0"/>
        <w:overflowPunct/>
        <w:spacing w:before="60" w:after="0" w:line="240" w:lineRule="auto"/>
        <w:ind w:leftChars="0" w:left="720" w:firstLineChars="0"/>
        <w:textDirection w:val="lrTb"/>
        <w:textAlignment w:val="auto"/>
        <w:outlineLvl w:val="9"/>
      </w:pPr>
      <w:r w:rsidRPr="00F86081">
        <w:t xml:space="preserve">Investigate adaptation and evolution of the </w:t>
      </w:r>
      <w:r w:rsidR="000D160B">
        <w:t xml:space="preserve">core network to support </w:t>
      </w:r>
      <w:r w:rsidR="000D160B" w:rsidRPr="005B79B4">
        <w:t xml:space="preserve">the </w:t>
      </w:r>
      <w:r w:rsidR="002D171E" w:rsidRPr="005513AF">
        <w:t xml:space="preserve">6G RAT including NTN </w:t>
      </w:r>
      <w:r w:rsidR="00A25C0F" w:rsidRPr="005513AF">
        <w:t>capabilities.</w:t>
      </w:r>
    </w:p>
    <w:p w14:paraId="79328570" w14:textId="680CE702" w:rsidR="00BA1794" w:rsidRPr="00F86081" w:rsidRDefault="00BA1794" w:rsidP="00DE4FCE">
      <w:pPr>
        <w:pStyle w:val="ListParagraph"/>
        <w:numPr>
          <w:ilvl w:val="0"/>
          <w:numId w:val="9"/>
        </w:numPr>
        <w:suppressAutoHyphens w:val="0"/>
        <w:overflowPunct/>
        <w:spacing w:before="60" w:after="0" w:line="240" w:lineRule="auto"/>
        <w:ind w:leftChars="0" w:left="720" w:firstLineChars="0"/>
        <w:textDirection w:val="lrTb"/>
        <w:textAlignment w:val="auto"/>
        <w:outlineLvl w:val="9"/>
      </w:pPr>
      <w:r>
        <w:t xml:space="preserve">Study enhancements </w:t>
      </w:r>
      <w:r w:rsidR="00FC5056">
        <w:t>for seamless</w:t>
      </w:r>
      <w:r>
        <w:t xml:space="preserve"> service continuity between terrestrial and satellite networks</w:t>
      </w:r>
    </w:p>
    <w:p w14:paraId="04BDC976" w14:textId="2A187980" w:rsidR="000D160B" w:rsidRPr="00F86081" w:rsidRDefault="000D160B" w:rsidP="00DE4FCE">
      <w:pPr>
        <w:pStyle w:val="ListParagraph"/>
        <w:numPr>
          <w:ilvl w:val="0"/>
          <w:numId w:val="9"/>
        </w:numPr>
        <w:suppressAutoHyphens w:val="0"/>
        <w:overflowPunct/>
        <w:spacing w:before="60" w:after="0" w:line="240" w:lineRule="auto"/>
        <w:ind w:leftChars="0" w:left="720" w:firstLineChars="0"/>
        <w:textDirection w:val="lrTb"/>
        <w:textAlignment w:val="auto"/>
        <w:outlineLvl w:val="9"/>
      </w:pPr>
      <w:r>
        <w:t>Study the</w:t>
      </w:r>
      <w:r w:rsidRPr="00F86081">
        <w:t xml:space="preserve"> interworking mechanisms between 6G NTN and existing NTN networks.</w:t>
      </w:r>
    </w:p>
    <w:p w14:paraId="6F4ABE0E" w14:textId="6F1B4A59" w:rsidR="00C01407" w:rsidRPr="00F86081" w:rsidRDefault="00C01407" w:rsidP="00DE4FCE">
      <w:pPr>
        <w:pStyle w:val="ListParagraph"/>
        <w:numPr>
          <w:ilvl w:val="0"/>
          <w:numId w:val="9"/>
        </w:numPr>
        <w:suppressAutoHyphens w:val="0"/>
        <w:overflowPunct/>
        <w:spacing w:before="60" w:after="0" w:line="240" w:lineRule="auto"/>
        <w:ind w:leftChars="0" w:left="720" w:firstLineChars="0"/>
        <w:textDirection w:val="lrTb"/>
        <w:textAlignment w:val="auto"/>
        <w:outlineLvl w:val="9"/>
      </w:pPr>
      <w:r>
        <w:t>Study the</w:t>
      </w:r>
      <w:r w:rsidRPr="00F86081">
        <w:t xml:space="preserve"> interworking mechanisms between 6G NTN and 5G/4G</w:t>
      </w:r>
      <w:r w:rsidR="00BF77BD">
        <w:t xml:space="preserve"> </w:t>
      </w:r>
      <w:r w:rsidRPr="00F86081">
        <w:t xml:space="preserve">terrestrial </w:t>
      </w:r>
      <w:r w:rsidR="000D160B">
        <w:t>networks</w:t>
      </w:r>
      <w:r w:rsidRPr="00F86081">
        <w:t>.</w:t>
      </w:r>
    </w:p>
    <w:p w14:paraId="2F3F7B1B" w14:textId="6151009C" w:rsidR="00B86B25" w:rsidRDefault="00C01407" w:rsidP="00DE4FCE">
      <w:pPr>
        <w:pStyle w:val="ListParagraph"/>
        <w:numPr>
          <w:ilvl w:val="0"/>
          <w:numId w:val="9"/>
        </w:numPr>
        <w:suppressAutoHyphens w:val="0"/>
        <w:overflowPunct/>
        <w:spacing w:before="60" w:after="0" w:line="240" w:lineRule="auto"/>
        <w:ind w:leftChars="0" w:left="720" w:firstLineChars="0"/>
        <w:textDirection w:val="lrTb"/>
        <w:textAlignment w:val="auto"/>
        <w:outlineLvl w:val="9"/>
      </w:pPr>
      <w:r w:rsidRPr="00F86081">
        <w:rPr>
          <w:rFonts w:hint="eastAsia"/>
        </w:rPr>
        <w:t>S</w:t>
      </w:r>
      <w:r w:rsidRPr="00F86081">
        <w:t xml:space="preserve">tudy how to utilize </w:t>
      </w:r>
      <w:r w:rsidR="00AE19B0">
        <w:t>6G</w:t>
      </w:r>
      <w:r w:rsidR="0061351D">
        <w:t xml:space="preserve"> </w:t>
      </w:r>
      <w:r w:rsidRPr="00F86081">
        <w:t>NTN as a key enabler for critical 6G use cases requiring ubiquitous coverage</w:t>
      </w:r>
      <w:r w:rsidR="000D160B">
        <w:t>, network resiliency and sustainability</w:t>
      </w:r>
      <w:r w:rsidRPr="00F86081">
        <w:t>, integrated sensing.</w:t>
      </w:r>
      <w:bookmarkStart w:id="1" w:name="_GoBack"/>
      <w:bookmarkEnd w:id="1"/>
    </w:p>
    <w:p w14:paraId="213385F8" w14:textId="641BF86E" w:rsidR="00274274" w:rsidRPr="00F86081" w:rsidRDefault="0043604F" w:rsidP="00DE4FCE">
      <w:pPr>
        <w:pStyle w:val="ListParagraph"/>
        <w:numPr>
          <w:ilvl w:val="0"/>
          <w:numId w:val="9"/>
        </w:numPr>
        <w:suppressAutoHyphens w:val="0"/>
        <w:overflowPunct/>
        <w:spacing w:before="60" w:after="0" w:line="240" w:lineRule="auto"/>
        <w:ind w:leftChars="0" w:left="720" w:firstLineChars="0"/>
        <w:textDirection w:val="lrTb"/>
        <w:textAlignment w:val="auto"/>
        <w:outlineLvl w:val="9"/>
      </w:pPr>
      <w:r>
        <w:t>L</w:t>
      </w:r>
      <w:r w:rsidR="00C10874" w:rsidRPr="00FC5056">
        <w:t xml:space="preserve">everaging existing multi orbit solutions developed in 5G and </w:t>
      </w:r>
      <w:r>
        <w:t xml:space="preserve">study </w:t>
      </w:r>
      <w:r w:rsidR="00C10874" w:rsidRPr="00FC5056">
        <w:t xml:space="preserve">how to extend it in </w:t>
      </w:r>
      <w:r w:rsidR="00FC5056">
        <w:t xml:space="preserve">the </w:t>
      </w:r>
      <w:r w:rsidR="00C10874" w:rsidRPr="00FC5056">
        <w:t>6G context</w:t>
      </w:r>
      <w:r w:rsidR="002C695C" w:rsidRPr="00FC5056">
        <w:t>.</w:t>
      </w:r>
    </w:p>
    <w:p w14:paraId="4D4668E9" w14:textId="6B01F039" w:rsidR="00274274" w:rsidRDefault="000D160B" w:rsidP="00DE4FCE">
      <w:pPr>
        <w:pStyle w:val="ListParagraph"/>
        <w:numPr>
          <w:ilvl w:val="0"/>
          <w:numId w:val="9"/>
        </w:numPr>
        <w:suppressAutoHyphens w:val="0"/>
        <w:overflowPunct/>
        <w:spacing w:before="60" w:after="0" w:line="240" w:lineRule="auto"/>
        <w:ind w:leftChars="0" w:left="720" w:firstLineChars="0"/>
        <w:textDirection w:val="lrTb"/>
        <w:textAlignment w:val="auto"/>
        <w:outlineLvl w:val="9"/>
      </w:pPr>
      <w:r>
        <w:t xml:space="preserve">Enhancements to embark </w:t>
      </w:r>
      <w:r w:rsidR="006E79C7" w:rsidRPr="006E79C7">
        <w:t>Core Network NFs onboard satellites</w:t>
      </w:r>
      <w:r w:rsidR="00092F50">
        <w:t>.</w:t>
      </w:r>
    </w:p>
    <w:p w14:paraId="6DB0433F" w14:textId="4469B849" w:rsidR="000D160B" w:rsidRDefault="000D160B" w:rsidP="00DE4FCE">
      <w:pPr>
        <w:pStyle w:val="ListParagraph"/>
        <w:numPr>
          <w:ilvl w:val="0"/>
          <w:numId w:val="9"/>
        </w:numPr>
        <w:suppressAutoHyphens w:val="0"/>
        <w:overflowPunct/>
        <w:spacing w:before="60" w:after="0" w:line="240" w:lineRule="auto"/>
        <w:ind w:leftChars="0" w:left="720" w:firstLineChars="0"/>
        <w:textDirection w:val="lrTb"/>
        <w:textAlignment w:val="auto"/>
        <w:outlineLvl w:val="9"/>
      </w:pPr>
      <w:r>
        <w:t>Support of broadcast and multicast services over 6G NTN</w:t>
      </w:r>
    </w:p>
    <w:p w14:paraId="26CFB2D8" w14:textId="47FB612D" w:rsidR="00092F50" w:rsidRDefault="00092F50" w:rsidP="00DE4FCE">
      <w:pPr>
        <w:pStyle w:val="ListParagraph"/>
        <w:numPr>
          <w:ilvl w:val="0"/>
          <w:numId w:val="9"/>
        </w:numPr>
        <w:suppressAutoHyphens w:val="0"/>
        <w:overflowPunct/>
        <w:spacing w:before="60" w:after="0" w:line="240" w:lineRule="auto"/>
        <w:ind w:leftChars="0" w:left="720" w:firstLineChars="0"/>
        <w:textDirection w:val="lrTb"/>
        <w:textAlignment w:val="auto"/>
        <w:outlineLvl w:val="9"/>
      </w:pPr>
      <w:r w:rsidRPr="00FC5056">
        <w:t>Study on how 6G NTN can support Positioning Navigation and Tracking</w:t>
      </w:r>
      <w:r w:rsidR="00696282">
        <w:t xml:space="preserve"> (PNT)</w:t>
      </w:r>
    </w:p>
    <w:sectPr w:rsidR="00092F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506CE" w14:textId="77777777" w:rsidR="008C17E6" w:rsidRDefault="008C17E6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D9934B9" w14:textId="77777777" w:rsidR="008C17E6" w:rsidRDefault="008C17E6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3" w14:textId="77777777" w:rsidR="007250E9" w:rsidRDefault="007250E9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rFonts w:ascii="Arial" w:eastAsia="Arial" w:hAnsi="Arial" w:cs="Arial"/>
        <w:b/>
        <w:i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4" w14:textId="77777777" w:rsidR="007250E9" w:rsidRDefault="007250E9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rFonts w:ascii="Arial" w:eastAsia="Arial" w:hAnsi="Arial" w:cs="Arial"/>
        <w:b/>
        <w:i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2" w14:textId="77777777" w:rsidR="007250E9" w:rsidRDefault="007250E9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rFonts w:ascii="Arial" w:eastAsia="Arial" w:hAnsi="Arial" w:cs="Arial"/>
        <w:b/>
        <w:i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F2A87" w14:textId="77777777" w:rsidR="008C17E6" w:rsidRDefault="008C17E6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0BDCF99" w14:textId="77777777" w:rsidR="008C17E6" w:rsidRDefault="008C17E6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0" w14:textId="77777777" w:rsidR="007250E9" w:rsidRDefault="007250E9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1" w14:textId="77777777" w:rsidR="007250E9" w:rsidRDefault="007250E9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F" w14:textId="77777777" w:rsidR="007250E9" w:rsidRDefault="007250E9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Arial" w:eastAsia="Arial" w:hAnsi="Arial" w:cs="Arial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688E"/>
    <w:multiLevelType w:val="multilevel"/>
    <w:tmpl w:val="B06A652C"/>
    <w:lvl w:ilvl="0">
      <w:start w:val="1"/>
      <w:numFmt w:val="decimal"/>
      <w:lvlText w:val="%1."/>
      <w:lvlJc w:val="left"/>
      <w:pPr>
        <w:ind w:left="1004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" w15:restartNumberingAfterBreak="0">
    <w:nsid w:val="1A155B28"/>
    <w:multiLevelType w:val="multilevel"/>
    <w:tmpl w:val="B06A652C"/>
    <w:lvl w:ilvl="0">
      <w:start w:val="1"/>
      <w:numFmt w:val="decimal"/>
      <w:lvlText w:val="%1."/>
      <w:lvlJc w:val="left"/>
      <w:pPr>
        <w:ind w:left="1004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" w15:restartNumberingAfterBreak="0">
    <w:nsid w:val="46FA2C3B"/>
    <w:multiLevelType w:val="multilevel"/>
    <w:tmpl w:val="B06A652C"/>
    <w:lvl w:ilvl="0">
      <w:start w:val="1"/>
      <w:numFmt w:val="decimal"/>
      <w:lvlText w:val="%1."/>
      <w:lvlJc w:val="left"/>
      <w:pPr>
        <w:ind w:left="1004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3" w15:restartNumberingAfterBreak="0">
    <w:nsid w:val="5E2F760C"/>
    <w:multiLevelType w:val="multilevel"/>
    <w:tmpl w:val="B06A652C"/>
    <w:lvl w:ilvl="0">
      <w:start w:val="1"/>
      <w:numFmt w:val="decimal"/>
      <w:lvlText w:val="%1."/>
      <w:lvlJc w:val="left"/>
      <w:pPr>
        <w:ind w:left="1004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4" w15:restartNumberingAfterBreak="0">
    <w:nsid w:val="72334F99"/>
    <w:multiLevelType w:val="multilevel"/>
    <w:tmpl w:val="C958E9F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ListNumber2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FA5400C"/>
    <w:multiLevelType w:val="hybridMultilevel"/>
    <w:tmpl w:val="B3405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0E9"/>
    <w:rsid w:val="00020570"/>
    <w:rsid w:val="00025295"/>
    <w:rsid w:val="0002650D"/>
    <w:rsid w:val="0004650C"/>
    <w:rsid w:val="00054861"/>
    <w:rsid w:val="00092F50"/>
    <w:rsid w:val="000A054D"/>
    <w:rsid w:val="000D160B"/>
    <w:rsid w:val="00113D51"/>
    <w:rsid w:val="00134DC8"/>
    <w:rsid w:val="00143F94"/>
    <w:rsid w:val="0016458C"/>
    <w:rsid w:val="00174ED9"/>
    <w:rsid w:val="001927B8"/>
    <w:rsid w:val="001E64ED"/>
    <w:rsid w:val="00216453"/>
    <w:rsid w:val="00260F5C"/>
    <w:rsid w:val="00263076"/>
    <w:rsid w:val="00274274"/>
    <w:rsid w:val="002C41D6"/>
    <w:rsid w:val="002C695C"/>
    <w:rsid w:val="002D171E"/>
    <w:rsid w:val="002D4769"/>
    <w:rsid w:val="0030143B"/>
    <w:rsid w:val="003137C0"/>
    <w:rsid w:val="00333B5C"/>
    <w:rsid w:val="003462E5"/>
    <w:rsid w:val="0036278E"/>
    <w:rsid w:val="00374776"/>
    <w:rsid w:val="003A263E"/>
    <w:rsid w:val="003C3851"/>
    <w:rsid w:val="003C736D"/>
    <w:rsid w:val="003F0447"/>
    <w:rsid w:val="003F1135"/>
    <w:rsid w:val="00433102"/>
    <w:rsid w:val="004332AA"/>
    <w:rsid w:val="0043604F"/>
    <w:rsid w:val="00444188"/>
    <w:rsid w:val="00453EFF"/>
    <w:rsid w:val="004623E2"/>
    <w:rsid w:val="004B0908"/>
    <w:rsid w:val="004F0176"/>
    <w:rsid w:val="004F1710"/>
    <w:rsid w:val="004F6074"/>
    <w:rsid w:val="004F7685"/>
    <w:rsid w:val="00522CF7"/>
    <w:rsid w:val="005513AF"/>
    <w:rsid w:val="00574BAD"/>
    <w:rsid w:val="00586293"/>
    <w:rsid w:val="005A1F5E"/>
    <w:rsid w:val="005A4977"/>
    <w:rsid w:val="005B3DAE"/>
    <w:rsid w:val="005B79B4"/>
    <w:rsid w:val="005C647D"/>
    <w:rsid w:val="00607581"/>
    <w:rsid w:val="0061351D"/>
    <w:rsid w:val="00626439"/>
    <w:rsid w:val="00657A86"/>
    <w:rsid w:val="00667F68"/>
    <w:rsid w:val="00675553"/>
    <w:rsid w:val="00685D35"/>
    <w:rsid w:val="00696282"/>
    <w:rsid w:val="006B6ECE"/>
    <w:rsid w:val="006C5B75"/>
    <w:rsid w:val="006E79C7"/>
    <w:rsid w:val="0071157F"/>
    <w:rsid w:val="00712032"/>
    <w:rsid w:val="00722F5E"/>
    <w:rsid w:val="007250E9"/>
    <w:rsid w:val="00730384"/>
    <w:rsid w:val="00745984"/>
    <w:rsid w:val="007507D2"/>
    <w:rsid w:val="00792E9D"/>
    <w:rsid w:val="007B6FED"/>
    <w:rsid w:val="007D4839"/>
    <w:rsid w:val="007D6123"/>
    <w:rsid w:val="007D6B0E"/>
    <w:rsid w:val="00820B48"/>
    <w:rsid w:val="008255C5"/>
    <w:rsid w:val="00827903"/>
    <w:rsid w:val="00873B87"/>
    <w:rsid w:val="00881843"/>
    <w:rsid w:val="008C17E6"/>
    <w:rsid w:val="008C2162"/>
    <w:rsid w:val="008C39C2"/>
    <w:rsid w:val="008D3085"/>
    <w:rsid w:val="00904D5E"/>
    <w:rsid w:val="00932076"/>
    <w:rsid w:val="00945FD4"/>
    <w:rsid w:val="009742CC"/>
    <w:rsid w:val="0098023A"/>
    <w:rsid w:val="009866DC"/>
    <w:rsid w:val="009B329A"/>
    <w:rsid w:val="009C0106"/>
    <w:rsid w:val="00A25C0F"/>
    <w:rsid w:val="00A63D75"/>
    <w:rsid w:val="00AD5601"/>
    <w:rsid w:val="00AE19B0"/>
    <w:rsid w:val="00AE391E"/>
    <w:rsid w:val="00AF37AC"/>
    <w:rsid w:val="00B16FEF"/>
    <w:rsid w:val="00B24FA0"/>
    <w:rsid w:val="00B64FBE"/>
    <w:rsid w:val="00B67599"/>
    <w:rsid w:val="00B737A2"/>
    <w:rsid w:val="00B86B25"/>
    <w:rsid w:val="00BA1794"/>
    <w:rsid w:val="00BB080C"/>
    <w:rsid w:val="00BB1590"/>
    <w:rsid w:val="00BB74FC"/>
    <w:rsid w:val="00BF000A"/>
    <w:rsid w:val="00BF77BD"/>
    <w:rsid w:val="00C01407"/>
    <w:rsid w:val="00C067C0"/>
    <w:rsid w:val="00C10874"/>
    <w:rsid w:val="00C11C23"/>
    <w:rsid w:val="00C16195"/>
    <w:rsid w:val="00C23C82"/>
    <w:rsid w:val="00C35787"/>
    <w:rsid w:val="00C43FF7"/>
    <w:rsid w:val="00C54D49"/>
    <w:rsid w:val="00C86E08"/>
    <w:rsid w:val="00C87F50"/>
    <w:rsid w:val="00C96BA7"/>
    <w:rsid w:val="00CA437F"/>
    <w:rsid w:val="00CA4EF0"/>
    <w:rsid w:val="00CE0312"/>
    <w:rsid w:val="00CE7628"/>
    <w:rsid w:val="00CF2313"/>
    <w:rsid w:val="00CF427B"/>
    <w:rsid w:val="00CF78EA"/>
    <w:rsid w:val="00D15350"/>
    <w:rsid w:val="00D23636"/>
    <w:rsid w:val="00D40E3A"/>
    <w:rsid w:val="00D52DC5"/>
    <w:rsid w:val="00D53C4E"/>
    <w:rsid w:val="00D56B66"/>
    <w:rsid w:val="00D875C2"/>
    <w:rsid w:val="00D90485"/>
    <w:rsid w:val="00DB396E"/>
    <w:rsid w:val="00DD05F6"/>
    <w:rsid w:val="00DE4FCE"/>
    <w:rsid w:val="00E06B31"/>
    <w:rsid w:val="00EA2DD1"/>
    <w:rsid w:val="00EC4649"/>
    <w:rsid w:val="00ED2062"/>
    <w:rsid w:val="00ED2E1D"/>
    <w:rsid w:val="00ED5682"/>
    <w:rsid w:val="00EE1DDE"/>
    <w:rsid w:val="00EF4674"/>
    <w:rsid w:val="00F05D77"/>
    <w:rsid w:val="00F06B3F"/>
    <w:rsid w:val="00F14799"/>
    <w:rsid w:val="00F256AD"/>
    <w:rsid w:val="00F459DF"/>
    <w:rsid w:val="00F53D46"/>
    <w:rsid w:val="00F86081"/>
    <w:rsid w:val="00FB7E1A"/>
    <w:rsid w:val="00FC5056"/>
    <w:rsid w:val="00FD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349F0A"/>
  <w15:docId w15:val="{34C3679F-028D-468D-B79A-567B34999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77BD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en-GB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uppressAutoHyphens/>
      <w:overflowPunct w:val="0"/>
      <w:autoSpaceDE w:val="0"/>
      <w:autoSpaceDN w:val="0"/>
      <w:adjustRightInd w:val="0"/>
      <w:spacing w:before="240" w:line="1" w:lineRule="atLeast"/>
      <w:ind w:leftChars="-1" w:left="1134" w:hangingChars="1" w:hanging="1134"/>
      <w:textDirection w:val="btLr"/>
      <w:textAlignment w:val="baseline"/>
      <w:outlineLvl w:val="0"/>
    </w:pPr>
    <w:rPr>
      <w:rFonts w:ascii="Arial" w:hAnsi="Arial"/>
      <w:position w:val="-1"/>
      <w:sz w:val="36"/>
      <w:lang w:eastAsia="en-GB"/>
    </w:rPr>
  </w:style>
  <w:style w:type="paragraph" w:styleId="Heading2">
    <w:name w:val="heading 2"/>
    <w:basedOn w:val="Heading1"/>
    <w:next w:val="Normal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pPr>
      <w:ind w:left="0" w:firstLine="0"/>
      <w:outlineLvl w:val="7"/>
    </w:pPr>
  </w:style>
  <w:style w:type="paragraph" w:styleId="Heading9">
    <w:name w:val="heading 9"/>
    <w:basedOn w:val="Heading8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customStyle="1" w:styleId="ZT">
    <w:name w:val="ZT"/>
    <w:pPr>
      <w:framePr w:wrap="notBeside" w:vAnchor="page" w:hAnchor="margin" w:yAlign="center"/>
      <w:widowControl w:val="0"/>
      <w:suppressAutoHyphens/>
      <w:overflowPunct w:val="0"/>
      <w:autoSpaceDE w:val="0"/>
      <w:autoSpaceDN w:val="0"/>
      <w:adjustRightInd w:val="0"/>
      <w:spacing w:line="240" w:lineRule="atLeast"/>
      <w:ind w:leftChars="-1" w:left="-1" w:hangingChars="1" w:hanging="1"/>
      <w:jc w:val="right"/>
      <w:textDirection w:val="btLr"/>
      <w:textAlignment w:val="baseline"/>
      <w:outlineLvl w:val="0"/>
    </w:pPr>
    <w:rPr>
      <w:rFonts w:ascii="Arial" w:hAnsi="Arial"/>
      <w:b/>
      <w:position w:val="-1"/>
      <w:sz w:val="34"/>
      <w:lang w:eastAsia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hAnchor="margin" w:xAlign="center" w:y="6805"/>
      <w:widowControl w:val="0"/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/>
      <w:noProof/>
      <w:position w:val="-1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numPr>
        <w:ilvl w:val="11"/>
        <w:numId w:val="2"/>
      </w:numPr>
      <w:ind w:left="851"/>
    </w:pPr>
  </w:style>
  <w:style w:type="paragraph" w:styleId="ListNumber">
    <w:name w:val="List Number"/>
    <w:basedOn w:val="List"/>
    <w:pPr>
      <w:tabs>
        <w:tab w:val="num" w:pos="360"/>
      </w:tabs>
    </w:pPr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/>
      <w:b/>
      <w:position w:val="-1"/>
      <w:sz w:val="18"/>
    </w:rPr>
  </w:style>
  <w:style w:type="character" w:styleId="FootnoteReference">
    <w:name w:val="footnote reference"/>
    <w:rPr>
      <w:b/>
      <w:w w:val="100"/>
      <w:position w:val="6"/>
      <w:sz w:val="16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autoSpaceDN w:val="0"/>
      <w:adjustRightInd w:val="0"/>
      <w:spacing w:line="180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tabs>
        <w:tab w:val="num" w:pos="360"/>
      </w:tabs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wrap="notBeside" w:hAnchor="margin" w:y="1135"/>
      <w:widowControl w:val="0"/>
      <w:pBdr>
        <w:bottom w:val="single" w:sz="12" w:space="1" w:color="auto"/>
      </w:pBd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jc w:val="right"/>
      <w:textDirection w:val="btLr"/>
      <w:textAlignment w:val="baseline"/>
      <w:outlineLvl w:val="0"/>
    </w:pPr>
    <w:rPr>
      <w:rFonts w:ascii="Arial" w:hAnsi="Arial"/>
      <w:noProof/>
      <w:position w:val="-1"/>
      <w:sz w:val="40"/>
    </w:rPr>
  </w:style>
  <w:style w:type="paragraph" w:customStyle="1" w:styleId="ZB">
    <w:name w:val="ZB"/>
    <w:pPr>
      <w:framePr w:w="10206" w:wrap="notBeside" w:hAnchor="margin" w:y="1986"/>
      <w:widowControl w:val="0"/>
      <w:suppressAutoHyphens/>
      <w:overflowPunct w:val="0"/>
      <w:autoSpaceDE w:val="0"/>
      <w:autoSpaceDN w:val="0"/>
      <w:adjustRightInd w:val="0"/>
      <w:spacing w:line="1" w:lineRule="atLeast"/>
      <w:ind w:leftChars="-1" w:left="-1" w:right="28" w:hangingChars="1" w:hanging="1"/>
      <w:jc w:val="right"/>
      <w:textDirection w:val="btLr"/>
      <w:textAlignment w:val="baseline"/>
      <w:outlineLvl w:val="0"/>
    </w:pPr>
    <w:rPr>
      <w:rFonts w:ascii="Arial" w:hAnsi="Arial"/>
      <w:i/>
      <w:noProof/>
      <w:position w:val="-1"/>
    </w:rPr>
  </w:style>
  <w:style w:type="paragraph" w:customStyle="1" w:styleId="ZD">
    <w:name w:val="ZD"/>
    <w:pPr>
      <w:framePr w:wrap="notBeside" w:hAnchor="margin" w:y="15764"/>
      <w:widowControl w:val="0"/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/>
      <w:noProof/>
      <w:position w:val="-1"/>
      <w:sz w:val="32"/>
    </w:rPr>
  </w:style>
  <w:style w:type="paragraph" w:customStyle="1" w:styleId="ZU">
    <w:name w:val="ZU"/>
    <w:pPr>
      <w:framePr w:w="10206" w:wrap="notBeside" w:hAnchor="margin" w:y="6238"/>
      <w:widowControl w:val="0"/>
      <w:pBdr>
        <w:top w:val="single" w:sz="12" w:space="1" w:color="auto"/>
      </w:pBd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jc w:val="right"/>
      <w:textDirection w:val="btLr"/>
      <w:textAlignment w:val="baseline"/>
      <w:outlineLvl w:val="0"/>
    </w:pPr>
    <w:rPr>
      <w:rFonts w:ascii="Arial" w:hAnsi="Arial"/>
      <w:noProof/>
      <w:position w:val="-1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hAnchor="margin" w:xAlign="right" w:y="6805"/>
      <w:widowControl w:val="0"/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jc w:val="right"/>
      <w:textDirection w:val="btLr"/>
      <w:textAlignment w:val="baseline"/>
      <w:outlineLvl w:val="0"/>
    </w:pPr>
    <w:rPr>
      <w:rFonts w:ascii="Arial" w:hAnsi="Arial"/>
      <w:noProof/>
      <w:position w:val="-1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wrap="notBeside" w:y="852"/>
    </w:pPr>
    <w:rPr>
      <w:i w:val="0"/>
      <w:sz w:val="40"/>
    </w:rPr>
  </w:style>
  <w:style w:type="paragraph" w:customStyle="1" w:styleId="CRCoverPage">
    <w:name w:val="CR Cover Page"/>
    <w:pPr>
      <w:suppressAutoHyphens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/>
      <w:position w:val="-1"/>
    </w:rPr>
  </w:style>
  <w:style w:type="paragraph" w:customStyle="1" w:styleId="tdoc-header">
    <w:name w:val="tdoc-header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/>
      <w:position w:val="-1"/>
      <w:sz w:val="24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rPr>
      <w:rFonts w:ascii="Arial" w:hAnsi="Arial"/>
      <w:b/>
      <w:w w:val="100"/>
      <w:position w:val="-1"/>
      <w:sz w:val="18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rFonts w:ascii="Times New Roman" w:hAnsi="Times New Roman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FirstIndentChar">
    <w:name w:val="Body Text First Indent Char"/>
    <w:basedOn w:val="BodyText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character" w:customStyle="1" w:styleId="BodyTextIndentChar">
    <w:name w:val="Body Text Indent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ind w:firstLine="210"/>
    </w:pPr>
  </w:style>
  <w:style w:type="character" w:customStyle="1" w:styleId="BodyTextFirstIndent2Char">
    <w:name w:val="Body Text First Indent 2 Char"/>
    <w:basedOn w:val="BodyTextIndent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customStyle="1" w:styleId="BodyTextIndent2Char">
    <w:name w:val="Body Text Indent 2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Pr>
      <w:rFonts w:ascii="Times New Roman" w:hAnsi="Times New Roman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TextChar">
    <w:name w:val="Comment Text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character" w:customStyle="1" w:styleId="CommentSubjectChar">
    <w:name w:val="Comment Subject Char"/>
    <w:rPr>
      <w:rFonts w:ascii="Times New Roman" w:hAnsi="Times New Roman"/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rPr>
      <w:rFonts w:ascii="Segoe UI" w:hAnsi="Segoe UI" w:cs="Segoe UI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customStyle="1" w:styleId="E-mailSignatureChar">
    <w:name w:val="E-mail Signature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EndnoteText">
    <w:name w:val="endnote text"/>
    <w:basedOn w:val="Normal"/>
  </w:style>
  <w:style w:type="character" w:customStyle="1" w:styleId="EndnoteTextChar">
    <w:name w:val="Endnote Text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hAnsi="Calibri Light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rFonts w:ascii="Times New Roman" w:hAnsi="Times New Roman"/>
      <w:i/>
      <w:i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rPr>
      <w:rFonts w:ascii="Times New Roman" w:hAnsi="Times New Roman"/>
      <w:i/>
      <w:iCs/>
      <w:color w:val="4472C4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3">
    <w:name w:val="List Number 3"/>
    <w:basedOn w:val="Normal"/>
    <w:pPr>
      <w:numPr>
        <w:numId w:val="3"/>
      </w:numPr>
      <w:ind w:left="-1" w:hanging="1"/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position w:val="-1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rPr>
      <w:rFonts w:ascii="Calibri Light" w:eastAsia="Times New Roman" w:hAnsi="Calibri Light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PlainText">
    <w:name w:val="Plain Text"/>
    <w:basedOn w:val="Normal"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rPr>
      <w:rFonts w:ascii="Times New Roman" w:hAnsi="Times New Roman"/>
      <w:i/>
      <w:iCs/>
      <w:color w:val="404040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character" w:customStyle="1" w:styleId="SubtitleChar">
    <w:name w:val="Subtitle Char"/>
    <w:rPr>
      <w:rFonts w:ascii="Calibri Light" w:eastAsia="Times New Roman" w:hAnsi="Calibri Light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character" w:customStyle="1" w:styleId="TitleChar">
    <w:name w:val="Title Char"/>
    <w:rPr>
      <w:rFonts w:ascii="Calibri Light" w:eastAsia="Times New Roman" w:hAnsi="Calibri Light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character" w:styleId="Strong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uv3um">
    <w:name w:val="uv3um"/>
    <w:basedOn w:val="DefaultParagraphFont"/>
    <w:rsid w:val="00433102"/>
  </w:style>
  <w:style w:type="paragraph" w:styleId="Revision">
    <w:name w:val="Revision"/>
    <w:hidden/>
    <w:uiPriority w:val="99"/>
    <w:semiHidden/>
    <w:rsid w:val="00745984"/>
    <w:pPr>
      <w:spacing w:after="0"/>
    </w:pPr>
    <w:rPr>
      <w:position w:val="-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5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g68Zeb4XnVxPO+5KvkWl4hglQQ==">CgMxLjA4AHIhMWJMeS0tZ2g2QThObDJVNlVma3p1WUJkWll3aGV2djlh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Sanders, John M Meredith</dc:creator>
  <cp:lastModifiedBy>BMN-01</cp:lastModifiedBy>
  <cp:revision>3</cp:revision>
  <dcterms:created xsi:type="dcterms:W3CDTF">2025-05-09T20:06:00Z</dcterms:created>
  <dcterms:modified xsi:type="dcterms:W3CDTF">2025-05-09T20:15:00Z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